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405DA" w14:textId="3627B3FA" w:rsidR="00725628" w:rsidRPr="00B17AA1" w:rsidRDefault="00B17AA1" w:rsidP="00D26147">
      <w:pPr>
        <w:pStyle w:val="Heading1"/>
        <w:rPr>
          <w:sz w:val="24"/>
        </w:rPr>
      </w:pPr>
      <w:r w:rsidRPr="00B17AA1">
        <w:rPr>
          <w:sz w:val="24"/>
        </w:rPr>
        <w:t xml:space="preserve">JOAN </w:t>
      </w:r>
      <w:r>
        <w:rPr>
          <w:sz w:val="24"/>
        </w:rPr>
        <w:t xml:space="preserve">JACOBS </w:t>
      </w:r>
      <w:r w:rsidR="00725628" w:rsidRPr="00B17AA1">
        <w:rPr>
          <w:sz w:val="24"/>
        </w:rPr>
        <w:t>BRUMBERG</w:t>
      </w:r>
    </w:p>
    <w:p w14:paraId="7C4E272D" w14:textId="57F40D36" w:rsidR="00725628" w:rsidRPr="00BF251A" w:rsidRDefault="00725628" w:rsidP="00D26147">
      <w:r w:rsidRPr="00B17AA1">
        <w:t>Steph</w:t>
      </w:r>
      <w:r w:rsidR="00B17AA1">
        <w:t>en H. Weiss Presidential Fellow</w:t>
      </w:r>
      <w:r w:rsidR="00084C32">
        <w:t xml:space="preserve"> </w:t>
      </w:r>
      <w:r w:rsidRPr="00B17AA1">
        <w:t>and Professor Emerita</w:t>
      </w:r>
      <w:r w:rsidR="00D26147" w:rsidRPr="00B17AA1">
        <w:t xml:space="preserve">; </w:t>
      </w:r>
      <w:r w:rsidRPr="00B17AA1">
        <w:t>History, Human Development, and Gender Studies</w:t>
      </w:r>
      <w:r w:rsidR="00D26147" w:rsidRPr="00B17AA1">
        <w:t xml:space="preserve">; </w:t>
      </w:r>
      <w:r w:rsidRPr="00B17AA1">
        <w:t>Cornell University</w:t>
      </w:r>
      <w:r w:rsidR="00B17AA1">
        <w:t xml:space="preserve">: </w:t>
      </w:r>
      <w:r w:rsidRPr="00BF251A">
        <w:t>Ph.D. (History), University of Virginia, 1978</w:t>
      </w:r>
      <w:r w:rsidR="00D26147">
        <w:t xml:space="preserve">; </w:t>
      </w:r>
      <w:r w:rsidR="00D84328">
        <w:t xml:space="preserve">M.A. </w:t>
      </w:r>
      <w:r w:rsidRPr="00BF251A">
        <w:t>(American Studies), Boston College, 1971</w:t>
      </w:r>
      <w:r w:rsidR="00D84328">
        <w:t>; B.A.</w:t>
      </w:r>
      <w:r w:rsidR="00D26147">
        <w:t xml:space="preserve"> cum laude</w:t>
      </w:r>
      <w:r w:rsidRPr="00BF251A">
        <w:t xml:space="preserve"> (History), University of Rochester, 1965</w:t>
      </w:r>
    </w:p>
    <w:p w14:paraId="781DFC0D" w14:textId="0C8A34DD" w:rsidR="008D6058" w:rsidRPr="00D84328" w:rsidRDefault="00725628" w:rsidP="00D26147">
      <w:pPr>
        <w:rPr>
          <w:b/>
        </w:rPr>
      </w:pPr>
      <w:r w:rsidRPr="00BF251A">
        <w:rPr>
          <w:b/>
        </w:rPr>
        <w:tab/>
      </w:r>
      <w:r w:rsidR="00D84328">
        <w:rPr>
          <w:b/>
        </w:rPr>
        <w:t xml:space="preserve">                                               </w:t>
      </w:r>
      <w:r w:rsidRPr="00B17AA1">
        <w:rPr>
          <w:b/>
        </w:rPr>
        <w:t>BOOKS</w:t>
      </w:r>
      <w:r w:rsidRPr="00BF251A">
        <w:rPr>
          <w:b/>
        </w:rPr>
        <w:t>:</w:t>
      </w:r>
      <w:r w:rsidRPr="00BF251A">
        <w:tab/>
      </w:r>
    </w:p>
    <w:p w14:paraId="28914D06" w14:textId="4059EEB3" w:rsidR="00725628" w:rsidRPr="00BF251A" w:rsidRDefault="00725628" w:rsidP="00D26147">
      <w:pPr>
        <w:tabs>
          <w:tab w:val="left" w:pos="720"/>
        </w:tabs>
        <w:rPr>
          <w:b/>
        </w:rPr>
      </w:pPr>
      <w:r w:rsidRPr="00BF251A">
        <w:t xml:space="preserve">Introduction to Lauren Greenfield’s, </w:t>
      </w:r>
      <w:r w:rsidRPr="00BF251A">
        <w:rPr>
          <w:u w:val="single"/>
        </w:rPr>
        <w:t>Thin</w:t>
      </w:r>
      <w:r w:rsidR="006B6398">
        <w:t xml:space="preserve"> (Chronicle Books</w:t>
      </w:r>
      <w:bookmarkStart w:id="0" w:name="_GoBack"/>
      <w:bookmarkEnd w:id="0"/>
      <w:r w:rsidR="00B17AA1">
        <w:t>,</w:t>
      </w:r>
      <w:proofErr w:type="gramStart"/>
      <w:r w:rsidRPr="00BF251A">
        <w:t>2006</w:t>
      </w:r>
      <w:r w:rsidR="00B17AA1">
        <w:t xml:space="preserve"> )</w:t>
      </w:r>
      <w:proofErr w:type="gramEnd"/>
      <w:r w:rsidR="00B17AA1">
        <w:t xml:space="preserve"> and </w:t>
      </w:r>
      <w:r w:rsidR="00B17AA1" w:rsidRPr="00BF251A">
        <w:t xml:space="preserve">, </w:t>
      </w:r>
      <w:r w:rsidR="00B17AA1" w:rsidRPr="00BF251A">
        <w:rPr>
          <w:u w:val="single"/>
        </w:rPr>
        <w:t>Girl Culture</w:t>
      </w:r>
      <w:r w:rsidR="00B17AA1">
        <w:t xml:space="preserve"> (Chronicle Books, 2009)</w:t>
      </w:r>
    </w:p>
    <w:p w14:paraId="0C66A766" w14:textId="0B3BE27F" w:rsidR="00725628" w:rsidRPr="00BF251A" w:rsidRDefault="00725628" w:rsidP="00D26147">
      <w:pPr>
        <w:tabs>
          <w:tab w:val="left" w:pos="720"/>
        </w:tabs>
      </w:pPr>
      <w:r w:rsidRPr="00BF251A">
        <w:rPr>
          <w:u w:val="single"/>
        </w:rPr>
        <w:t>Kansas Charley</w:t>
      </w:r>
      <w:r w:rsidRPr="00BF251A">
        <w:rPr>
          <w:b/>
          <w:u w:val="single"/>
        </w:rPr>
        <w:t xml:space="preserve">: </w:t>
      </w:r>
      <w:r w:rsidRPr="00BF251A">
        <w:rPr>
          <w:u w:val="single"/>
        </w:rPr>
        <w:t xml:space="preserve">The Boy Murderer </w:t>
      </w:r>
      <w:r w:rsidRPr="00BF251A">
        <w:t>(Viking, 2003; Penguin pa</w:t>
      </w:r>
      <w:r w:rsidR="008D6058">
        <w:t>perback 2004; electronic book 20</w:t>
      </w:r>
      <w:r w:rsidR="00B17AA1">
        <w:t>13</w:t>
      </w:r>
      <w:r w:rsidRPr="00BF251A">
        <w:t xml:space="preserve">     </w:t>
      </w:r>
    </w:p>
    <w:p w14:paraId="07E4E8A8" w14:textId="6D1CD9D1" w:rsidR="00725628" w:rsidRPr="00BF251A" w:rsidRDefault="00725628" w:rsidP="00D26147">
      <w:pPr>
        <w:tabs>
          <w:tab w:val="left" w:pos="720"/>
        </w:tabs>
      </w:pPr>
      <w:r w:rsidRPr="00BF251A">
        <w:rPr>
          <w:u w:val="single"/>
        </w:rPr>
        <w:t>The Body Project: An Intimate History of American Girls</w:t>
      </w:r>
      <w:r w:rsidR="008D6058">
        <w:rPr>
          <w:u w:val="single"/>
        </w:rPr>
        <w:t xml:space="preserve"> </w:t>
      </w:r>
      <w:r w:rsidRPr="00BF251A">
        <w:t>(Random House, 1997; paperback edition, Vintage, 1998; electronic 2011; Japanese and Chinese editions, 2005; play, Horizons Th</w:t>
      </w:r>
      <w:r w:rsidR="008D6058">
        <w:t>eater (Washington, DC, 2005)</w:t>
      </w:r>
    </w:p>
    <w:p w14:paraId="61920FFB" w14:textId="6C4CF914" w:rsidR="00725628" w:rsidRPr="00BF251A" w:rsidRDefault="008D6058" w:rsidP="00D26147">
      <w:r>
        <w:t xml:space="preserve"> *</w:t>
      </w:r>
      <w:r w:rsidR="00725628" w:rsidRPr="00BF251A">
        <w:t>Choice Award, American Library Association (1998)</w:t>
      </w:r>
    </w:p>
    <w:p w14:paraId="21037DD9" w14:textId="71B12110" w:rsidR="00725628" w:rsidRPr="00BF251A" w:rsidRDefault="008D6058" w:rsidP="00D26147">
      <w:r>
        <w:t xml:space="preserve"> *</w:t>
      </w:r>
      <w:r w:rsidR="00725628" w:rsidRPr="00BF251A">
        <w:t>VOYA (Voice of Youth Advocates) Selection (1999)</w:t>
      </w:r>
    </w:p>
    <w:p w14:paraId="72A4CAF0" w14:textId="77777777" w:rsidR="008D6058" w:rsidRDefault="00725628" w:rsidP="00D26147">
      <w:pPr>
        <w:tabs>
          <w:tab w:val="left" w:pos="720"/>
          <w:tab w:val="left" w:pos="2880"/>
        </w:tabs>
      </w:pPr>
      <w:r w:rsidRPr="00BF251A">
        <w:rPr>
          <w:u w:val="single"/>
        </w:rPr>
        <w:t xml:space="preserve">Fasting Girls:  The Emergence of Anorexia Nervosa </w:t>
      </w:r>
      <w:proofErr w:type="gramStart"/>
      <w:r w:rsidRPr="00BF251A">
        <w:rPr>
          <w:u w:val="single"/>
        </w:rPr>
        <w:t>As</w:t>
      </w:r>
      <w:proofErr w:type="gramEnd"/>
      <w:r w:rsidRPr="00BF251A">
        <w:rPr>
          <w:u w:val="single"/>
        </w:rPr>
        <w:t xml:space="preserve"> A Modern Disease</w:t>
      </w:r>
      <w:r w:rsidRPr="00BF251A">
        <w:t xml:space="preserve"> (Harvard University Press, 1988; German edition, 1994; Japanese edition, 2005; Vintage paperback, revised and updated, Fall 2000, electronic 2012)</w:t>
      </w:r>
    </w:p>
    <w:p w14:paraId="1F8D4837" w14:textId="2A44D3BF" w:rsidR="008D6058" w:rsidRDefault="008D6058" w:rsidP="00D26147">
      <w:pPr>
        <w:tabs>
          <w:tab w:val="left" w:pos="720"/>
          <w:tab w:val="left" w:pos="2880"/>
        </w:tabs>
      </w:pPr>
      <w:r>
        <w:t>*</w:t>
      </w:r>
      <w:r w:rsidR="00725628" w:rsidRPr="00BF251A">
        <w:t>Berkshire Book Prize, Berkshire C</w:t>
      </w:r>
      <w:r>
        <w:t xml:space="preserve">onference of Women Historians (1988)                   </w:t>
      </w:r>
    </w:p>
    <w:p w14:paraId="6C02101B" w14:textId="0A1834E2" w:rsidR="00725628" w:rsidRPr="00BF251A" w:rsidRDefault="008D6058" w:rsidP="00D26147">
      <w:pPr>
        <w:tabs>
          <w:tab w:val="num" w:pos="3240"/>
        </w:tabs>
        <w:ind w:right="720"/>
      </w:pPr>
      <w:r>
        <w:t>*</w:t>
      </w:r>
      <w:r w:rsidR="00725628" w:rsidRPr="00BF251A">
        <w:t>John Hope Franklin Prize, American Studies Association (1989)</w:t>
      </w:r>
      <w:r w:rsidR="00725628" w:rsidRPr="00BF251A">
        <w:tab/>
      </w:r>
    </w:p>
    <w:p w14:paraId="3A589D91" w14:textId="5DB17FD7" w:rsidR="00725628" w:rsidRPr="00BF251A" w:rsidRDefault="008D6058" w:rsidP="00D26147">
      <w:pPr>
        <w:tabs>
          <w:tab w:val="left" w:pos="2880"/>
          <w:tab w:val="num" w:pos="3240"/>
        </w:tabs>
        <w:ind w:right="720"/>
      </w:pPr>
      <w:r>
        <w:t>*</w:t>
      </w:r>
      <w:r w:rsidR="00725628" w:rsidRPr="00BF251A">
        <w:t>Watson Davis Prize, History of Science Society (1989)</w:t>
      </w:r>
    </w:p>
    <w:p w14:paraId="615FC5B3" w14:textId="77777777" w:rsidR="008D6058" w:rsidRDefault="008D6058" w:rsidP="00D26147">
      <w:pPr>
        <w:tabs>
          <w:tab w:val="left" w:pos="2880"/>
          <w:tab w:val="num" w:pos="3240"/>
        </w:tabs>
        <w:ind w:right="720"/>
      </w:pPr>
      <w:r>
        <w:t>*</w:t>
      </w:r>
      <w:proofErr w:type="spellStart"/>
      <w:r w:rsidR="00725628" w:rsidRPr="00BF251A">
        <w:t>Basker</w:t>
      </w:r>
      <w:proofErr w:type="spellEnd"/>
      <w:r w:rsidR="00725628" w:rsidRPr="00BF251A">
        <w:t xml:space="preserve"> Memorial Prize, Society </w:t>
      </w:r>
      <w:proofErr w:type="gramStart"/>
      <w:r w:rsidR="00725628" w:rsidRPr="00BF251A">
        <w:t>For</w:t>
      </w:r>
      <w:proofErr w:type="gramEnd"/>
      <w:r w:rsidR="00725628" w:rsidRPr="00BF251A">
        <w:t xml:space="preserve"> Medical Anthropology, American Anthropological Association (1989)</w:t>
      </w:r>
    </w:p>
    <w:p w14:paraId="202CEF03" w14:textId="59495789" w:rsidR="00725628" w:rsidRPr="00BF251A" w:rsidRDefault="00725628" w:rsidP="00D26147">
      <w:pPr>
        <w:tabs>
          <w:tab w:val="left" w:pos="2880"/>
          <w:tab w:val="num" w:pos="3240"/>
        </w:tabs>
        <w:ind w:right="720"/>
      </w:pPr>
      <w:r w:rsidRPr="00BF251A">
        <w:rPr>
          <w:u w:val="single"/>
        </w:rPr>
        <w:t>Mission for Life:  The Judson Family and American Evangelical Culture</w:t>
      </w:r>
      <w:r w:rsidR="008D6058">
        <w:t xml:space="preserve"> </w:t>
      </w:r>
      <w:r w:rsidRPr="00BF251A">
        <w:t>(The Free Press, 1980; paperback edition: New York University Press, 1984)</w:t>
      </w:r>
    </w:p>
    <w:p w14:paraId="2472F3E6" w14:textId="6DB01003" w:rsidR="00725628" w:rsidRPr="00BF251A" w:rsidRDefault="008D6058" w:rsidP="00D26147">
      <w:pPr>
        <w:tabs>
          <w:tab w:val="left" w:pos="2880"/>
        </w:tabs>
        <w:ind w:right="720"/>
      </w:pPr>
      <w:r>
        <w:t>*</w:t>
      </w:r>
      <w:r w:rsidR="00725628" w:rsidRPr="00BF251A">
        <w:t>Brewer Prize, Honorable Mention, 1979, The American Society for Church History</w:t>
      </w:r>
    </w:p>
    <w:p w14:paraId="7822311D" w14:textId="0B1FE8BF" w:rsidR="008D6058" w:rsidRPr="00D26147" w:rsidRDefault="00D26147" w:rsidP="00D26147">
      <w:pPr>
        <w:pStyle w:val="Heading2"/>
        <w:ind w:left="0"/>
        <w:rPr>
          <w:u w:val="none"/>
        </w:rPr>
      </w:pPr>
      <w:r w:rsidRPr="00D26147">
        <w:rPr>
          <w:sz w:val="24"/>
          <w:u w:val="none"/>
        </w:rPr>
        <w:t xml:space="preserve">                                               </w:t>
      </w:r>
      <w:r w:rsidR="00725628" w:rsidRPr="00D26147">
        <w:rPr>
          <w:sz w:val="24"/>
          <w:u w:val="none"/>
        </w:rPr>
        <w:t xml:space="preserve">RECENT </w:t>
      </w:r>
      <w:r w:rsidR="00725628" w:rsidRPr="00D26147">
        <w:rPr>
          <w:u w:val="none"/>
        </w:rPr>
        <w:t>ARTICLES:</w:t>
      </w:r>
      <w:r w:rsidR="00725628" w:rsidRPr="00D26147">
        <w:rPr>
          <w:u w:val="none"/>
        </w:rPr>
        <w:tab/>
      </w:r>
    </w:p>
    <w:p w14:paraId="7C36B73B" w14:textId="52C30F09" w:rsidR="00725628" w:rsidRPr="00D84328" w:rsidRDefault="00725628" w:rsidP="00D26147">
      <w:pPr>
        <w:pStyle w:val="Heading2"/>
        <w:ind w:left="0"/>
        <w:rPr>
          <w:b w:val="0"/>
          <w:sz w:val="24"/>
        </w:rPr>
      </w:pPr>
      <w:r w:rsidRPr="008D6058">
        <w:rPr>
          <w:b w:val="0"/>
          <w:u w:val="none"/>
        </w:rPr>
        <w:t>“More than Skin Deep: A History of Cutting on Campus</w:t>
      </w:r>
      <w:r w:rsidRPr="008D6058">
        <w:rPr>
          <w:u w:val="none"/>
        </w:rPr>
        <w:t>”</w:t>
      </w:r>
      <w:r w:rsidRPr="008D6058">
        <w:t xml:space="preserve">, </w:t>
      </w:r>
      <w:r w:rsidRPr="00D84328">
        <w:rPr>
          <w:b w:val="0"/>
        </w:rPr>
        <w:t>Chronicle of Higher Education Review (December 8, 2006)</w:t>
      </w:r>
    </w:p>
    <w:p w14:paraId="03218CF2" w14:textId="77777777" w:rsidR="008D6058" w:rsidRDefault="00725628" w:rsidP="00D26147">
      <w:r w:rsidRPr="00BF251A">
        <w:rPr>
          <w:b/>
        </w:rPr>
        <w:t xml:space="preserve"> </w:t>
      </w:r>
      <w:r w:rsidR="008D6058">
        <w:rPr>
          <w:b/>
        </w:rPr>
        <w:t>“</w:t>
      </w:r>
      <w:r w:rsidRPr="00BF251A">
        <w:t>A Safer and Wiser Place’:</w:t>
      </w:r>
      <w:r w:rsidRPr="00BF251A">
        <w:rPr>
          <w:b/>
        </w:rPr>
        <w:t xml:space="preserve"> </w:t>
      </w:r>
      <w:r w:rsidRPr="00BF251A">
        <w:t>The Camping Experience During World War II,”</w:t>
      </w:r>
      <w:r w:rsidRPr="00BF251A">
        <w:rPr>
          <w:b/>
        </w:rPr>
        <w:t xml:space="preserve"> </w:t>
      </w:r>
      <w:r w:rsidRPr="00BF251A">
        <w:t>in Hallie</w:t>
      </w:r>
      <w:r w:rsidRPr="00BF251A">
        <w:rPr>
          <w:b/>
        </w:rPr>
        <w:t xml:space="preserve"> </w:t>
      </w:r>
      <w:r w:rsidRPr="00BF251A">
        <w:t xml:space="preserve">Bond, Ed., </w:t>
      </w:r>
      <w:r w:rsidRPr="00BF251A">
        <w:rPr>
          <w:u w:val="single"/>
        </w:rPr>
        <w:t>A Paradise for Boys and Girls: The History of Adirondack Children’s Camps</w:t>
      </w:r>
      <w:r w:rsidRPr="00BF251A">
        <w:t xml:space="preserve"> (Syracuse University Press, 2006</w:t>
      </w:r>
      <w:r w:rsidRPr="00BF251A">
        <w:rPr>
          <w:b/>
        </w:rPr>
        <w:t>)</w:t>
      </w:r>
    </w:p>
    <w:p w14:paraId="76A01E69" w14:textId="76B7FE04" w:rsidR="00725628" w:rsidRPr="008D6058" w:rsidRDefault="00725628" w:rsidP="00D26147">
      <w:pPr>
        <w:rPr>
          <w:b/>
        </w:rPr>
      </w:pPr>
      <w:r w:rsidRPr="00BF251A">
        <w:t xml:space="preserve">“The ‘Me’ of Me: The Voices of Jewish Girls in Adolescent Diaries of the 1920s and 1950s,” in Joyce Antler, Ed., </w:t>
      </w:r>
      <w:r w:rsidR="00D84328">
        <w:rPr>
          <w:u w:val="single"/>
        </w:rPr>
        <w:t xml:space="preserve">Talking </w:t>
      </w:r>
      <w:r w:rsidRPr="00BF251A">
        <w:rPr>
          <w:u w:val="single"/>
        </w:rPr>
        <w:t>Back: Images of Jewish Women in American Popular Culture</w:t>
      </w:r>
      <w:r w:rsidRPr="00BF251A">
        <w:t xml:space="preserve"> (Brandeis University Press, 1997) </w:t>
      </w:r>
    </w:p>
    <w:p w14:paraId="7494FEF9" w14:textId="6B31B84E" w:rsidR="00725628" w:rsidRPr="00BF251A" w:rsidRDefault="00725628" w:rsidP="00D26147">
      <w:r w:rsidRPr="00BF251A">
        <w:t xml:space="preserve">"Coming of Age in the 1920s: The Diaries of Yvonne Blue and Helen </w:t>
      </w:r>
      <w:proofErr w:type="spellStart"/>
      <w:r w:rsidRPr="00BF251A">
        <w:t>Laprovitz</w:t>
      </w:r>
      <w:proofErr w:type="spellEnd"/>
      <w:r w:rsidRPr="00BF251A">
        <w:t xml:space="preserve">" in Susan Ware, Ed., </w:t>
      </w:r>
      <w:r w:rsidRPr="00BF251A">
        <w:rPr>
          <w:u w:val="single"/>
        </w:rPr>
        <w:t>New Viewpoints in Women's History</w:t>
      </w:r>
      <w:r w:rsidRPr="00BF251A">
        <w:t xml:space="preserve"> (1995); reprinted in </w:t>
      </w:r>
      <w:r w:rsidRPr="00BF251A">
        <w:rPr>
          <w:u w:val="single"/>
        </w:rPr>
        <w:t>American Jewish Women: An Anthology</w:t>
      </w:r>
      <w:r w:rsidRPr="00BF251A">
        <w:t xml:space="preserve"> (forthcoming 2003)</w:t>
      </w:r>
    </w:p>
    <w:p w14:paraId="7C78BE0A" w14:textId="04808006" w:rsidR="00725628" w:rsidRPr="00BF251A" w:rsidRDefault="00725628" w:rsidP="00D26147">
      <w:r w:rsidRPr="00BF251A">
        <w:t xml:space="preserve">"'Something Happens </w:t>
      </w:r>
      <w:proofErr w:type="gramStart"/>
      <w:r w:rsidRPr="00BF251A">
        <w:t>To</w:t>
      </w:r>
      <w:proofErr w:type="gramEnd"/>
      <w:r w:rsidRPr="00BF251A">
        <w:t xml:space="preserve"> Girls': Menarche and The E</w:t>
      </w:r>
      <w:r w:rsidR="00D84328">
        <w:t>mergence of the Modern Hyg</w:t>
      </w:r>
      <w:r w:rsidR="00084C32">
        <w:t>i</w:t>
      </w:r>
      <w:r w:rsidR="00D84328">
        <w:t>enic</w:t>
      </w:r>
      <w:r w:rsidR="00084C32">
        <w:t xml:space="preserve"> </w:t>
      </w:r>
      <w:r w:rsidR="00D26147">
        <w:t xml:space="preserve"> </w:t>
      </w:r>
      <w:r w:rsidR="00D84328">
        <w:t xml:space="preserve"> </w:t>
      </w:r>
      <w:r w:rsidRPr="00BF251A">
        <w:t xml:space="preserve">Imperative," </w:t>
      </w:r>
      <w:r w:rsidRPr="00BF251A">
        <w:rPr>
          <w:u w:val="single"/>
        </w:rPr>
        <w:t>Journal of the History of Sexuality</w:t>
      </w:r>
      <w:r w:rsidR="00084C32">
        <w:t xml:space="preserve"> (July </w:t>
      </w:r>
      <w:r w:rsidRPr="00BF251A">
        <w:t>1993).</w:t>
      </w:r>
    </w:p>
    <w:p w14:paraId="349274C4" w14:textId="6EFC0302" w:rsidR="00725628" w:rsidRPr="00BF251A" w:rsidRDefault="00725628" w:rsidP="00D26147">
      <w:r w:rsidRPr="00BF251A">
        <w:t xml:space="preserve">"Learning to Menstruate </w:t>
      </w:r>
      <w:proofErr w:type="gramStart"/>
      <w:r w:rsidRPr="00BF251A">
        <w:t>The</w:t>
      </w:r>
      <w:proofErr w:type="gramEnd"/>
      <w:r w:rsidRPr="00BF251A">
        <w:t xml:space="preserve"> American Way, 1850-1950" in </w:t>
      </w:r>
      <w:r w:rsidR="00D84328">
        <w:t xml:space="preserve">Marion de </w:t>
      </w:r>
      <w:proofErr w:type="spellStart"/>
      <w:r w:rsidR="00D84328">
        <w:t>Ras</w:t>
      </w:r>
      <w:proofErr w:type="spellEnd"/>
      <w:r w:rsidR="00D84328">
        <w:t xml:space="preserve">. </w:t>
      </w:r>
      <w:proofErr w:type="spellStart"/>
      <w:r w:rsidR="00D84328">
        <w:t>Mieke</w:t>
      </w:r>
      <w:proofErr w:type="spellEnd"/>
      <w:r w:rsidR="00D84328">
        <w:t xml:space="preserve"> </w:t>
      </w:r>
      <w:proofErr w:type="spellStart"/>
      <w:r w:rsidR="00D84328">
        <w:t>Lunenberg</w:t>
      </w:r>
      <w:proofErr w:type="spellEnd"/>
      <w:r w:rsidR="00D84328">
        <w:t xml:space="preserve">, </w:t>
      </w:r>
      <w:r w:rsidRPr="00BF251A">
        <w:t xml:space="preserve">Eds., </w:t>
      </w:r>
      <w:r w:rsidRPr="00BF251A">
        <w:rPr>
          <w:u w:val="single"/>
        </w:rPr>
        <w:t xml:space="preserve">Girls, girlhood and girls' studies in transition </w:t>
      </w:r>
      <w:r w:rsidRPr="00BF251A">
        <w:t xml:space="preserve">(Amsterdam, 1993; Het </w:t>
      </w:r>
      <w:proofErr w:type="spellStart"/>
      <w:r w:rsidRPr="00BF251A">
        <w:t>Spinhuis</w:t>
      </w:r>
      <w:proofErr w:type="spellEnd"/>
      <w:r w:rsidRPr="00BF251A">
        <w:t>).</w:t>
      </w:r>
    </w:p>
    <w:p w14:paraId="63157F06" w14:textId="00F09C96" w:rsidR="00725628" w:rsidRPr="00B17AA1" w:rsidRDefault="00725628" w:rsidP="00D26147">
      <w:pPr>
        <w:rPr>
          <w:b/>
        </w:rPr>
      </w:pPr>
      <w:r w:rsidRPr="00BF251A">
        <w:t xml:space="preserve">"From Psychiatric Syndrome </w:t>
      </w:r>
      <w:proofErr w:type="gramStart"/>
      <w:r w:rsidRPr="00BF251A">
        <w:t>To</w:t>
      </w:r>
      <w:proofErr w:type="gramEnd"/>
      <w:r w:rsidRPr="00BF251A">
        <w:t xml:space="preserve"> 'Communicable' Disease’: The Popularization of Anorexia Nervosa" in Charles Rosenberg and Janet Golden, eds., </w:t>
      </w:r>
      <w:r w:rsidRPr="00BF251A">
        <w:rPr>
          <w:u w:val="single"/>
        </w:rPr>
        <w:t xml:space="preserve">Framing Disease </w:t>
      </w:r>
      <w:r w:rsidRPr="00BF251A">
        <w:t>(R</w:t>
      </w:r>
      <w:r w:rsidR="00D26147">
        <w:t>utgers University Press, 1991).</w:t>
      </w:r>
    </w:p>
    <w:p w14:paraId="42145965" w14:textId="22A05702" w:rsidR="00B17AA1" w:rsidRPr="00B17AA1" w:rsidRDefault="00B17AA1" w:rsidP="00B17AA1">
      <w:pPr>
        <w:jc w:val="center"/>
        <w:rPr>
          <w:b/>
        </w:rPr>
      </w:pPr>
      <w:r>
        <w:rPr>
          <w:b/>
        </w:rPr>
        <w:t>SELECT</w:t>
      </w:r>
      <w:r w:rsidRPr="00B17AA1">
        <w:rPr>
          <w:b/>
        </w:rPr>
        <w:t>D HONORS</w:t>
      </w:r>
      <w:r>
        <w:rPr>
          <w:b/>
        </w:rPr>
        <w:t>:</w:t>
      </w:r>
    </w:p>
    <w:p w14:paraId="71EE7CC4" w14:textId="6B9F867A" w:rsidR="00725628" w:rsidRPr="00D26147" w:rsidRDefault="00D26147" w:rsidP="00D26147">
      <w:pPr>
        <w:rPr>
          <w:b/>
          <w:u w:val="single"/>
        </w:rPr>
      </w:pPr>
      <w:r>
        <w:t>John Simon Guggenheim</w:t>
      </w:r>
      <w:r w:rsidR="00084C32">
        <w:t xml:space="preserve"> Fellowship,</w:t>
      </w:r>
      <w:r w:rsidRPr="00BF251A">
        <w:t>1991</w:t>
      </w:r>
      <w:r w:rsidR="00725628" w:rsidRPr="00BF251A">
        <w:t>Ma</w:t>
      </w:r>
      <w:r w:rsidR="00B17AA1">
        <w:t>cDowell Colony Residencies</w:t>
      </w:r>
      <w:r>
        <w:t xml:space="preserve">, 2002, 1995, </w:t>
      </w:r>
      <w:proofErr w:type="gramStart"/>
      <w:r w:rsidR="00725628" w:rsidRPr="00BF251A">
        <w:t>1994</w:t>
      </w:r>
      <w:r w:rsidR="00B17AA1">
        <w:t>;</w:t>
      </w:r>
      <w:r w:rsidR="00725628" w:rsidRPr="00BF251A">
        <w:t xml:space="preserve"> </w:t>
      </w:r>
      <w:r>
        <w:rPr>
          <w:b/>
          <w:u w:val="single"/>
        </w:rPr>
        <w:t xml:space="preserve"> </w:t>
      </w:r>
      <w:r w:rsidR="00725628" w:rsidRPr="00BF251A">
        <w:t>Fellow</w:t>
      </w:r>
      <w:proofErr w:type="gramEnd"/>
      <w:r w:rsidR="00725628" w:rsidRPr="00BF251A">
        <w:t>, Society of American Historians, l998</w:t>
      </w:r>
      <w:r w:rsidR="00B17AA1">
        <w:t>;</w:t>
      </w:r>
      <w:r w:rsidR="00B17AA1">
        <w:rPr>
          <w:b/>
          <w:u w:val="single"/>
        </w:rPr>
        <w:t xml:space="preserve"> </w:t>
      </w:r>
      <w:r w:rsidR="00725628" w:rsidRPr="00BF251A">
        <w:t>National Endowment For The Humanities Fellowship</w:t>
      </w:r>
      <w:r w:rsidR="00B17AA1">
        <w:t xml:space="preserve"> Award for University Teacher,1990</w:t>
      </w:r>
      <w:r w:rsidR="00084C32" w:rsidRPr="00084C32">
        <w:rPr>
          <w:b/>
        </w:rPr>
        <w:t>;</w:t>
      </w:r>
      <w:r w:rsidR="00084C32">
        <w:rPr>
          <w:b/>
        </w:rPr>
        <w:t xml:space="preserve"> </w:t>
      </w:r>
      <w:r w:rsidR="00725628" w:rsidRPr="00084C32">
        <w:t>R</w:t>
      </w:r>
      <w:r w:rsidR="00725628" w:rsidRPr="00BF251A">
        <w:t>ockefeller Foundation Humaniti</w:t>
      </w:r>
      <w:r w:rsidR="00B17AA1">
        <w:t xml:space="preserve">es Fellowship, 1984; </w:t>
      </w:r>
      <w:r>
        <w:t xml:space="preserve"> </w:t>
      </w:r>
      <w:r w:rsidR="00B17AA1">
        <w:t>Charles Warren Ce</w:t>
      </w:r>
      <w:r w:rsidR="00725628" w:rsidRPr="00BF251A">
        <w:t>nter Fello</w:t>
      </w:r>
      <w:r w:rsidR="00B17AA1">
        <w:t>w, Harvard University, 1982.</w:t>
      </w:r>
    </w:p>
    <w:p w14:paraId="19131CA1" w14:textId="581A89E2" w:rsidR="00725628" w:rsidRPr="00BF251A" w:rsidRDefault="00725628" w:rsidP="00084C32">
      <w:pPr>
        <w:rPr>
          <w:b/>
          <w:u w:val="single"/>
        </w:rPr>
      </w:pPr>
    </w:p>
    <w:p w14:paraId="7C9FC66F" w14:textId="77777777" w:rsidR="00E9583F" w:rsidRDefault="00E9583F"/>
    <w:sectPr w:rsidR="00E9583F" w:rsidSect="004F388E">
      <w:footerReference w:type="default" r:id="rId7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6F497" w14:textId="77777777" w:rsidR="00AE3E9F" w:rsidRDefault="00AE3E9F">
      <w:r>
        <w:separator/>
      </w:r>
    </w:p>
  </w:endnote>
  <w:endnote w:type="continuationSeparator" w:id="0">
    <w:p w14:paraId="12EC6A9A" w14:textId="77777777" w:rsidR="00AE3E9F" w:rsidRDefault="00AE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B57A3" w14:textId="77777777" w:rsidR="00177C9E" w:rsidRDefault="00DA251F">
    <w:pPr>
      <w:pStyle w:val="Footer"/>
      <w:framePr w:wrap="auto" w:vAnchor="page" w:hAnchor="margin" w:xAlign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pgNum/>
    </w:r>
  </w:p>
  <w:p w14:paraId="2B5DCC40" w14:textId="77777777" w:rsidR="00177C9E" w:rsidRDefault="00AE3E9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D6189" w14:textId="77777777" w:rsidR="00AE3E9F" w:rsidRDefault="00AE3E9F">
      <w:r>
        <w:separator/>
      </w:r>
    </w:p>
  </w:footnote>
  <w:footnote w:type="continuationSeparator" w:id="0">
    <w:p w14:paraId="5B9F56FE" w14:textId="77777777" w:rsidR="00AE3E9F" w:rsidRDefault="00AE3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C0A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8F610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99E65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69"/>
    <w:rsid w:val="00084C32"/>
    <w:rsid w:val="00156D71"/>
    <w:rsid w:val="001D3581"/>
    <w:rsid w:val="006B6398"/>
    <w:rsid w:val="00725628"/>
    <w:rsid w:val="008D6058"/>
    <w:rsid w:val="00AE3E9F"/>
    <w:rsid w:val="00B17AA1"/>
    <w:rsid w:val="00CB7669"/>
    <w:rsid w:val="00D26147"/>
    <w:rsid w:val="00D84328"/>
    <w:rsid w:val="00DA251F"/>
    <w:rsid w:val="00E9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0457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25628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725628"/>
    <w:pPr>
      <w:keepNext/>
      <w:jc w:val="center"/>
      <w:outlineLvl w:val="0"/>
    </w:pPr>
    <w:rPr>
      <w:rFonts w:eastAsia="Times New Roman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725628"/>
    <w:pPr>
      <w:keepNext/>
      <w:tabs>
        <w:tab w:val="left" w:pos="720"/>
        <w:tab w:val="left" w:pos="2880"/>
      </w:tabs>
      <w:ind w:left="720" w:right="720"/>
      <w:outlineLvl w:val="1"/>
    </w:pPr>
    <w:rPr>
      <w:rFonts w:eastAsia="Times New Roman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5628"/>
    <w:rPr>
      <w:rFonts w:ascii="Times" w:eastAsia="Times New Roman" w:hAnsi="Times" w:cs="Times New Roman"/>
      <w:b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725628"/>
    <w:rPr>
      <w:rFonts w:ascii="Times" w:eastAsia="Times New Roman" w:hAnsi="Times" w:cs="Times New Roman"/>
      <w:b/>
      <w:sz w:val="22"/>
      <w:szCs w:val="20"/>
      <w:u w:val="single"/>
    </w:rPr>
  </w:style>
  <w:style w:type="paragraph" w:styleId="BodyText2">
    <w:name w:val="Body Text 2"/>
    <w:basedOn w:val="Normal"/>
    <w:link w:val="BodyText2Char"/>
    <w:rsid w:val="00725628"/>
    <w:pPr>
      <w:ind w:left="2160" w:hanging="2160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725628"/>
    <w:rPr>
      <w:rFonts w:ascii="Times" w:eastAsia="Times New Roman" w:hAnsi="Times" w:cs="Times New Roman"/>
      <w:sz w:val="22"/>
      <w:szCs w:val="20"/>
    </w:rPr>
  </w:style>
  <w:style w:type="paragraph" w:styleId="BodyTextIndent">
    <w:name w:val="Body Text Indent"/>
    <w:basedOn w:val="Normal"/>
    <w:link w:val="BodyTextIndentChar"/>
    <w:rsid w:val="00725628"/>
    <w:pPr>
      <w:ind w:left="2160" w:hanging="2160"/>
    </w:pPr>
    <w:rPr>
      <w:rFonts w:eastAsia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725628"/>
    <w:rPr>
      <w:rFonts w:ascii="Times" w:eastAsia="Times New Roman" w:hAnsi="Times" w:cs="Times New Roman"/>
      <w:sz w:val="22"/>
      <w:szCs w:val="20"/>
    </w:rPr>
  </w:style>
  <w:style w:type="paragraph" w:styleId="Footer">
    <w:name w:val="footer"/>
    <w:basedOn w:val="Normal"/>
    <w:link w:val="FooterChar"/>
    <w:rsid w:val="00725628"/>
    <w:pPr>
      <w:tabs>
        <w:tab w:val="center" w:pos="4320"/>
        <w:tab w:val="right" w:pos="8640"/>
      </w:tabs>
    </w:pPr>
    <w:rPr>
      <w:rFonts w:ascii="New York" w:eastAsia="Times New Roman" w:hAnsi="New York"/>
    </w:rPr>
  </w:style>
  <w:style w:type="character" w:customStyle="1" w:styleId="FooterChar">
    <w:name w:val="Footer Char"/>
    <w:basedOn w:val="DefaultParagraphFont"/>
    <w:link w:val="Footer"/>
    <w:rsid w:val="00725628"/>
    <w:rPr>
      <w:rFonts w:ascii="New York" w:eastAsia="Times New Roman" w:hAnsi="New York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523</Words>
  <Characters>2758</Characters>
  <Application>Microsoft Macintosh Word</Application>
  <DocSecurity>0</DocSecurity>
  <Lines>53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JOAN JACOBS BRUMBERG</vt:lpstr>
      <vt:lpstr>    RECENT ARTICLES:	</vt:lpstr>
      <vt:lpstr>    “More than Skin Deep: A History of Cutting on Campus”, Chronicle of Higher Educa</vt:lpstr>
    </vt:vector>
  </TitlesOfParts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jjbrumberg@gmail.com</dc:creator>
  <cp:keywords/>
  <dc:description/>
  <cp:lastModifiedBy>jjbrumberg@gmail.com</cp:lastModifiedBy>
  <cp:revision>4</cp:revision>
  <cp:lastPrinted>2017-07-13T18:08:00Z</cp:lastPrinted>
  <dcterms:created xsi:type="dcterms:W3CDTF">2017-07-13T17:07:00Z</dcterms:created>
  <dcterms:modified xsi:type="dcterms:W3CDTF">2017-07-13T18:08:00Z</dcterms:modified>
</cp:coreProperties>
</file>